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50" w:rsidRDefault="00B71950" w:rsidP="00B7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reviyuire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Constitutiei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prof.univ.dr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Voicu</w:t>
      </w:r>
      <w:proofErr w:type="spellEnd"/>
    </w:p>
    <w:p w:rsidR="00B71950" w:rsidRDefault="00B71950" w:rsidP="00B7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686" w:rsidRPr="00B71950" w:rsidRDefault="00B71950" w:rsidP="00B7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Limitele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revizuirii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A.  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152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Constitutie</w:t>
      </w:r>
      <w:proofErr w:type="spellEnd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“(1)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Constituţii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caracterul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independent,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unitar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indivizibil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român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forma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republicană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guvernământ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integritatea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teritoriului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independenţa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justiţiei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pluralismul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politic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oficială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nu pot forma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revizuirii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(2)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revizuire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făcută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are ca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suprimarea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libertăţilor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cetăţenilor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garanţiilor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II.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generat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disfunctii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controverse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interpretari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diferite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2003-2013,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revizuire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din 18-19.10.2003.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Restrangerea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exercitiului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libertati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– art.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2.”</w:t>
      </w:r>
      <w:proofErr w:type="spellStart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>Autoritati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Art.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61, 73, 80-95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103, 105-107, 113-114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 Cap.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VI –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125-134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V –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142-147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Integrarea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euroatlantica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VI –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148-149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III.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Modificari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completari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textelor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Forma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guvernamant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parlamentara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-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 al. 2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“Forma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guvernamant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roman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parlamentara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2. ”</w:t>
      </w:r>
      <w:proofErr w:type="spellStart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libertatile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indatoririle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II, cap.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II –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20 –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alineat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(3):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Conventia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Europeana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Omului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libertatilor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Carta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Fundamentale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Uniunii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intern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privata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– art. 44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3.1.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teza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mostenire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creantele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garantate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3.2. Sa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introduca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alineat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) cu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urmatoarea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formulare</w:t>
      </w:r>
      <w:proofErr w:type="spellEnd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obliga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Intrebuintarea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serveasca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acelasi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prosperitatea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(a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vedea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art. 14 pct. 2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Germaniei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federale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4. ”</w:t>
      </w:r>
      <w:proofErr w:type="spellStart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>Restrangerea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exercitiului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 – art. 53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(1)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Exercitiul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libertatii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restrans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organica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nunai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apararea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securitatii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nationale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moralei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libertatilor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cetatenesti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consecintelor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calamitati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naturale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dezastru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sinistru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deosebit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grav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Nota: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adauga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organica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cetatenesti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in loc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cetatenilor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(2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) ”</w:t>
      </w:r>
      <w:proofErr w:type="spellStart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>Restrangerea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dispusa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necesara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democratica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urmareste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scop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legitim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are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Nota: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adauga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urmareste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scop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legitim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are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(a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vedea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art. 19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Germaniei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Federale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5. ”</w:t>
      </w:r>
      <w:proofErr w:type="spellStart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>Autoritatile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  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III.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inlocuieste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expresia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Autoritati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 cu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expresie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care 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intalnim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art. 80 al. 2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frecvent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moderne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(ex. art. 20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IX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Germaniei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executiva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”, ‘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”).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5.1.’Parlamentul”.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a) Art. 61 –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adauge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. 3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urmatoarea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redactare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: (3)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garantul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independentei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nationale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unitatii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integritatii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teritoriale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tarii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preluand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aceasa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prerogative de la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– art. 80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b) Art. 73 –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adauge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organica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lit. “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>” –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restrangerea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exercitiului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libertati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situatie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in care, lit “t”, de la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ultimul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alineat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devine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lit “u”.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5.2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. ”</w:t>
      </w:r>
      <w:proofErr w:type="spellStart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a)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elimina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teza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2-a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1 al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80, care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in mod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firesc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parlamentara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elimina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teza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2 al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80,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urmand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continua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exercita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mediere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stat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art. 81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reformuleaza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adapteaza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noua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alegerii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d) ”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Mandatul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4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exercita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depunerea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juramantului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e) Art. 85 –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noua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redactare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(1)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Prim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ministru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desemnat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partidul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alianta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obtinut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majoritatea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parlamentara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f) Art. 86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abrogat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g) Art. 87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aiba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alineat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urmatoarea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formulare</w:t>
      </w:r>
      <w:proofErr w:type="spellEnd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invitat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care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dezbat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politica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externa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apararea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tarii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primului-ministru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situatii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h) Art. 91 -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inlocuiasca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expresia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 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incheie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tratate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”, cu “SEMNEAZA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tratatele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5.3.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Guvernul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1. Art. 103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  –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. 1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abroga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din art.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85 al. 1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acoperitoare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Art. 104 al. 1 –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inlocuiasca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expresia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cu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3. Art. 107 al. 3 –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, in loc de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fie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Parlamentul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5.4. Cap. VI –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intitulat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2-a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Public”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devina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cap.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VII,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separata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5.5. Art.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125 (2) –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expresia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CSM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inlocuieste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cu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la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126 (1, 3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4) se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mentiunea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Casatie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”, in loc de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Inalta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Casatie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Justitie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5.5.1. Art.  126 al. 1: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realizeaza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Casatie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celelalte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instante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judecatoresti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Nota: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inlocuieste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justitia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cu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expresia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adecvata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introduce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eliberand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-o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element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virus politic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(a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vedea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art. 92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Germaniei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) care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prevede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incredintata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; ea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exercita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federala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federale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fundamentala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tribunalele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land”.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5.6.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3-a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deveni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2-a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  cu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5.6.1. Art.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133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garantul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independentei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nu a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justitiei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5.6.2. Art. 133 al. 2 – “CSJ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alcatuit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din 17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a) 12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alesi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adunarile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(3),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tribunale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(3),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apel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Casatie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(3),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b) 3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reprezentanti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civile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specialisti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care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bucura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înalta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reputatie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profesionala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morala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alesi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Senat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presedintele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Casatie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ministrul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justitie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5.6.3. Al. 3 al art. 133: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Vicepreşedintele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executiv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ales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3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reînnoit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prevăzuţi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alineatul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a).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5.6.4. Al. 4 al art. 133: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5.6.5.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6 al art.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133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inlocuieste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urmatorul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text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exercita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Casatie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5.7. Art. 134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reformuleaza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Presedintelui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Romsniei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numirea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exceptia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stagiari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5.7.1. Art. 134 al. 2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reformuleaza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îndeplineşte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rolul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instanţă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raspunderii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disciplinare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organică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lastRenderedPageBreak/>
        <w:t>acest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preşedintele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vicepresedintele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executiv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conduce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 5.8. La art. 134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adauge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alineat</w:t>
      </w:r>
      <w:proofErr w:type="spellEnd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funcitiile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instantele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4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reannoit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singura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data.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functiile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superioare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executie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promovat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examenele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organizate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Sectiunea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3-a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Constituţională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garantul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supremaţiei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Constituţiei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Constituţională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compune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nouă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judecători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numiţi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6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care nu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înnoit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(3)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judecători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numiţi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Senat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deCamera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Deputatilor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(4)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Judecătorii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Curţii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Constituţionale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aleg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secret,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preşedintele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3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Conditii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numire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– art. 143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(1) ”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Candidatii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la CCR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indeplineasca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cerute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numiti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Casatie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aiba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inalta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reputatie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profesionala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18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din care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functia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invatamantul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superior”.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(2)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acelasi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Casatie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   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3. La art. 146 (1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- lit. “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adauga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Judecatorilor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- lit. “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”, f, h –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elimine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Textele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art. 144-145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147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ramana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neschimbate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5. Cap. VII din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  –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Public”, cu 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configuratie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institutionala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apropiata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din cap.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VI –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judecatoreasca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VI –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Integrarea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europarlamentara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elimine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titulatura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intrucat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ambele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lastRenderedPageBreak/>
        <w:t>texte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art. 148-149,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desuete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atat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aderarea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la UE, cat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la NATO au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loc de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multi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relativ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la UE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UE cu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intern,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limitele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atribui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putere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supraconstitutionala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(a se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vedea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jurisprudenta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clara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constanta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Federale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Germaniei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Curtii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Constitutionale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Poloniei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Spaniei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Portugaliei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Cehiei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s.a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>.).</w:t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  <w:t>Ex. “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Prioritatea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efectul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direct 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dreptului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UE nu pot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afecta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altera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substanta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organica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traditia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poporului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fondul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strategic cultural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fiinta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nationala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ceeace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479DA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5479DA">
        <w:rPr>
          <w:rFonts w:ascii="Times New Roman" w:eastAsia="Times New Roman" w:hAnsi="Times New Roman" w:cs="Times New Roman"/>
          <w:sz w:val="24"/>
          <w:szCs w:val="24"/>
        </w:rPr>
        <w:t xml:space="preserve"> din art. </w:t>
      </w:r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</w:rPr>
        <w:t>3 al TUE”.</w:t>
      </w:r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r w:rsidRPr="005479D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479DA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prof.univ.dr</w:t>
      </w:r>
      <w:proofErr w:type="spellEnd"/>
      <w:proofErr w:type="gramEnd"/>
      <w:r w:rsidRPr="005479DA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. Marin VOICU]</w:t>
      </w:r>
    </w:p>
    <w:sectPr w:rsidR="00C85686" w:rsidRPr="00B71950" w:rsidSect="00C8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950"/>
    <w:rsid w:val="00012CD6"/>
    <w:rsid w:val="001A00B2"/>
    <w:rsid w:val="002212AF"/>
    <w:rsid w:val="00552CBC"/>
    <w:rsid w:val="00B71950"/>
    <w:rsid w:val="00C8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essef</dc:creator>
  <cp:keywords/>
  <dc:description/>
  <cp:lastModifiedBy>essef</cp:lastModifiedBy>
  <cp:revision>2</cp:revision>
  <dcterms:created xsi:type="dcterms:W3CDTF">2013-03-28T14:06:00Z</dcterms:created>
  <dcterms:modified xsi:type="dcterms:W3CDTF">2013-03-28T14:07:00Z</dcterms:modified>
</cp:coreProperties>
</file>